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2B62A" w14:textId="7CF7CED0" w:rsidR="00473061" w:rsidRPr="0058433E" w:rsidRDefault="002F2A90" w:rsidP="00473061">
      <w:pPr>
        <w:spacing w:after="0" w:line="240" w:lineRule="auto"/>
        <w:jc w:val="right"/>
        <w:rPr>
          <w:rFonts w:ascii="Times New Roman" w:hAnsi="Times New Roman" w:cs="Times New Roman"/>
          <w:b/>
          <w:i/>
          <w:sz w:val="20"/>
          <w:szCs w:val="20"/>
          <w:lang w:val="kk-KZ"/>
        </w:rPr>
      </w:pPr>
      <w:r w:rsidRPr="0058433E">
        <w:rPr>
          <w:rFonts w:ascii="Times New Roman" w:hAnsi="Times New Roman" w:cs="Times New Roman"/>
          <w:b/>
          <w:i/>
          <w:sz w:val="20"/>
          <w:szCs w:val="20"/>
          <w:lang w:val="kk-KZ"/>
        </w:rPr>
        <w:t xml:space="preserve">Қосымша </w:t>
      </w:r>
    </w:p>
    <w:p w14:paraId="499CD6CB" w14:textId="77777777" w:rsidR="00473061" w:rsidRPr="0058433E" w:rsidRDefault="00473061" w:rsidP="00F7469E">
      <w:pPr>
        <w:spacing w:after="0" w:line="240" w:lineRule="auto"/>
        <w:jc w:val="center"/>
        <w:rPr>
          <w:rFonts w:ascii="Times New Roman" w:hAnsi="Times New Roman" w:cs="Times New Roman"/>
          <w:b/>
          <w:sz w:val="20"/>
          <w:szCs w:val="20"/>
        </w:rPr>
      </w:pPr>
    </w:p>
    <w:p w14:paraId="3E8813B5" w14:textId="77777777" w:rsidR="008729E8" w:rsidRPr="0058433E" w:rsidRDefault="00F7469E" w:rsidP="008729E8">
      <w:pPr>
        <w:spacing w:after="0" w:line="240" w:lineRule="auto"/>
        <w:jc w:val="center"/>
        <w:rPr>
          <w:rFonts w:ascii="Times New Roman" w:hAnsi="Times New Roman" w:cs="Times New Roman"/>
          <w:b/>
          <w:sz w:val="20"/>
          <w:szCs w:val="20"/>
          <w:lang w:val="kk-KZ"/>
        </w:rPr>
      </w:pPr>
      <w:r w:rsidRPr="0058433E">
        <w:rPr>
          <w:rFonts w:ascii="Times New Roman" w:hAnsi="Times New Roman" w:cs="Times New Roman"/>
          <w:b/>
          <w:sz w:val="20"/>
          <w:szCs w:val="20"/>
        </w:rPr>
        <w:t xml:space="preserve"> «</w:t>
      </w:r>
      <w:r w:rsidR="008729E8" w:rsidRPr="0058433E">
        <w:rPr>
          <w:rFonts w:ascii="Times New Roman" w:hAnsi="Times New Roman" w:cs="Times New Roman"/>
          <w:b/>
          <w:sz w:val="20"/>
          <w:szCs w:val="20"/>
        </w:rPr>
        <w:t>Ашы</w:t>
      </w:r>
      <w:r w:rsidR="008729E8" w:rsidRPr="0058433E">
        <w:rPr>
          <w:rFonts w:ascii="Times New Roman" w:hAnsi="Times New Roman" w:cs="Times New Roman"/>
          <w:b/>
          <w:sz w:val="20"/>
          <w:szCs w:val="20"/>
          <w:lang w:val="kk-KZ"/>
        </w:rPr>
        <w:t>қ НҚА</w:t>
      </w:r>
      <w:r w:rsidRPr="0058433E">
        <w:rPr>
          <w:rFonts w:ascii="Times New Roman" w:hAnsi="Times New Roman" w:cs="Times New Roman"/>
          <w:b/>
          <w:sz w:val="20"/>
          <w:szCs w:val="20"/>
        </w:rPr>
        <w:t>»</w:t>
      </w:r>
      <w:r w:rsidR="008729E8" w:rsidRPr="0058433E">
        <w:rPr>
          <w:rFonts w:ascii="Times New Roman" w:hAnsi="Times New Roman" w:cs="Times New Roman"/>
          <w:b/>
          <w:sz w:val="20"/>
          <w:szCs w:val="20"/>
          <w:lang w:val="kk-KZ"/>
        </w:rPr>
        <w:t xml:space="preserve"> порталында</w:t>
      </w:r>
      <w:r w:rsidRPr="0058433E">
        <w:rPr>
          <w:rFonts w:ascii="Times New Roman" w:hAnsi="Times New Roman" w:cs="Times New Roman"/>
          <w:b/>
          <w:sz w:val="20"/>
          <w:szCs w:val="20"/>
        </w:rPr>
        <w:t xml:space="preserve"> </w:t>
      </w:r>
      <w:r w:rsidR="008729E8" w:rsidRPr="0058433E">
        <w:rPr>
          <w:rFonts w:ascii="Times New Roman" w:hAnsi="Times New Roman" w:cs="Times New Roman"/>
          <w:b/>
          <w:sz w:val="20"/>
          <w:szCs w:val="20"/>
          <w:lang w:val="kk-KZ"/>
        </w:rPr>
        <w:t xml:space="preserve">орналастыруға жоспарланатын және резонанстық мәселені </w:t>
      </w:r>
    </w:p>
    <w:p w14:paraId="7F828614" w14:textId="467CD870" w:rsidR="00F7469E" w:rsidRPr="0058433E" w:rsidRDefault="008729E8" w:rsidP="008729E8">
      <w:pPr>
        <w:spacing w:after="0" w:line="240" w:lineRule="auto"/>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қамтымайтын НҚА жобаларының тізбесі</w:t>
      </w:r>
    </w:p>
    <w:p w14:paraId="3F5E32A2" w14:textId="70CBD748" w:rsidR="00F7469E" w:rsidRPr="007B4989" w:rsidRDefault="008729E8" w:rsidP="007B4989">
      <w:pPr>
        <w:spacing w:after="0" w:line="240" w:lineRule="auto"/>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 xml:space="preserve">2025 жылғы </w:t>
      </w:r>
      <w:r w:rsidR="0059007C">
        <w:rPr>
          <w:rFonts w:ascii="Times New Roman" w:hAnsi="Times New Roman" w:cs="Times New Roman"/>
          <w:b/>
          <w:sz w:val="20"/>
          <w:szCs w:val="20"/>
          <w:lang w:val="kk-KZ"/>
        </w:rPr>
        <w:t>26</w:t>
      </w:r>
      <w:r w:rsidR="004A2A19">
        <w:rPr>
          <w:rFonts w:ascii="Times New Roman" w:hAnsi="Times New Roman" w:cs="Times New Roman"/>
          <w:b/>
          <w:sz w:val="20"/>
          <w:szCs w:val="20"/>
          <w:lang w:val="kk-KZ"/>
        </w:rPr>
        <w:t xml:space="preserve"> </w:t>
      </w:r>
      <w:r w:rsidR="007B4989">
        <w:rPr>
          <w:rFonts w:ascii="Times New Roman" w:hAnsi="Times New Roman" w:cs="Times New Roman"/>
          <w:b/>
          <w:sz w:val="20"/>
          <w:szCs w:val="20"/>
          <w:lang w:val="kk-KZ"/>
        </w:rPr>
        <w:t>қыркүйек</w:t>
      </w:r>
    </w:p>
    <w:p w14:paraId="3E4F4B67" w14:textId="77777777" w:rsidR="00F7469E" w:rsidRPr="0058433E" w:rsidRDefault="00F7469E" w:rsidP="00F7469E">
      <w:pPr>
        <w:spacing w:after="0" w:line="240" w:lineRule="auto"/>
        <w:jc w:val="center"/>
        <w:rPr>
          <w:rFonts w:ascii="Times New Roman" w:hAnsi="Times New Roman" w:cs="Times New Roman"/>
          <w:b/>
          <w:sz w:val="20"/>
          <w:szCs w:val="20"/>
          <w:lang w:val="kk-KZ"/>
        </w:rPr>
      </w:pPr>
    </w:p>
    <w:tbl>
      <w:tblPr>
        <w:tblStyle w:val="a3"/>
        <w:tblW w:w="15593" w:type="dxa"/>
        <w:tblInd w:w="-289" w:type="dxa"/>
        <w:tblLayout w:type="fixed"/>
        <w:tblLook w:val="04A0" w:firstRow="1" w:lastRow="0" w:firstColumn="1" w:lastColumn="0" w:noHBand="0" w:noVBand="1"/>
      </w:tblPr>
      <w:tblGrid>
        <w:gridCol w:w="426"/>
        <w:gridCol w:w="1985"/>
        <w:gridCol w:w="1417"/>
        <w:gridCol w:w="1134"/>
        <w:gridCol w:w="1985"/>
        <w:gridCol w:w="2268"/>
        <w:gridCol w:w="1842"/>
        <w:gridCol w:w="2410"/>
        <w:gridCol w:w="2126"/>
      </w:tblGrid>
      <w:tr w:rsidR="00137C86" w:rsidRPr="00262CE3" w14:paraId="670EA0D8" w14:textId="6AECF79C" w:rsidTr="00B36493">
        <w:tc>
          <w:tcPr>
            <w:tcW w:w="426" w:type="dxa"/>
            <w:vAlign w:val="center"/>
          </w:tcPr>
          <w:p w14:paraId="1466E05D" w14:textId="426FF899" w:rsidR="00137C86" w:rsidRPr="0058433E" w:rsidRDefault="00137C86" w:rsidP="00F33F7B">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w:t>
            </w:r>
          </w:p>
        </w:tc>
        <w:tc>
          <w:tcPr>
            <w:tcW w:w="1985" w:type="dxa"/>
            <w:vAlign w:val="center"/>
          </w:tcPr>
          <w:p w14:paraId="49BA0702" w14:textId="2206FA91" w:rsidR="00137C86" w:rsidRPr="0058433E" w:rsidRDefault="009B35E3" w:rsidP="00155BBC">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Жобаның атауы НҚА түрін көрсете отырып</w:t>
            </w:r>
          </w:p>
        </w:tc>
        <w:tc>
          <w:tcPr>
            <w:tcW w:w="1417" w:type="dxa"/>
            <w:vAlign w:val="center"/>
          </w:tcPr>
          <w:p w14:paraId="43B4C48C" w14:textId="01EB0B64" w:rsidR="00137C86" w:rsidRPr="0058433E" w:rsidRDefault="009B35E3" w:rsidP="00A54555">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Әзірлеуші мемлекеттік орган, құрылымдық бөлімше, лауазым, байланыс деректері</w:t>
            </w:r>
          </w:p>
        </w:tc>
        <w:tc>
          <w:tcPr>
            <w:tcW w:w="1134" w:type="dxa"/>
            <w:vAlign w:val="center"/>
          </w:tcPr>
          <w:p w14:paraId="00ABAC8D" w14:textId="64E8E140" w:rsidR="00137C86" w:rsidRPr="0058433E" w:rsidRDefault="009B35E3" w:rsidP="00155BBC">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Жоспарланған орналастыру күні</w:t>
            </w:r>
          </w:p>
        </w:tc>
        <w:tc>
          <w:tcPr>
            <w:tcW w:w="1985" w:type="dxa"/>
            <w:vAlign w:val="center"/>
          </w:tcPr>
          <w:p w14:paraId="45CB0950" w14:textId="72F427AD" w:rsidR="00137C86" w:rsidRPr="0058433E" w:rsidRDefault="00DE513D" w:rsidP="00155BBC">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НҚА жобасының қысқаша мазмұны, негізгі ережелердің сипаттамасы</w:t>
            </w:r>
          </w:p>
        </w:tc>
        <w:tc>
          <w:tcPr>
            <w:tcW w:w="2268" w:type="dxa"/>
            <w:vAlign w:val="center"/>
          </w:tcPr>
          <w:p w14:paraId="1E337802" w14:textId="6BD27C88" w:rsidR="00137C86" w:rsidRPr="0058433E" w:rsidRDefault="00DE513D" w:rsidP="00155BBC">
            <w:pPr>
              <w:jc w:val="center"/>
              <w:rPr>
                <w:rFonts w:ascii="Times New Roman" w:hAnsi="Times New Roman" w:cs="Times New Roman"/>
                <w:b/>
                <w:i/>
                <w:sz w:val="20"/>
                <w:szCs w:val="20"/>
                <w:lang w:val="kk-KZ"/>
              </w:rPr>
            </w:pPr>
            <w:r w:rsidRPr="0058433E">
              <w:rPr>
                <w:rFonts w:ascii="Times New Roman" w:hAnsi="Times New Roman" w:cs="Times New Roman"/>
                <w:b/>
                <w:sz w:val="20"/>
                <w:szCs w:val="20"/>
                <w:lang w:val="kk-KZ"/>
              </w:rPr>
              <w:t xml:space="preserve">Іске асыру үшін жоба әзірленген тапсырма және оның орындалу мерзімі туралы мәліметтер                    *егер жоба бастамашылық тәртіппен әзірленсе – «бастамашыл» толтырылады </w:t>
            </w:r>
          </w:p>
        </w:tc>
        <w:tc>
          <w:tcPr>
            <w:tcW w:w="1842" w:type="dxa"/>
            <w:vAlign w:val="center"/>
          </w:tcPr>
          <w:p w14:paraId="050E86EC" w14:textId="51385AB3" w:rsidR="00137C86" w:rsidRPr="0058433E" w:rsidRDefault="00DE513D" w:rsidP="00155BBC">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Нақты мақсаттар мен күтілетін нәтижелердің мерзімдері</w:t>
            </w:r>
          </w:p>
        </w:tc>
        <w:tc>
          <w:tcPr>
            <w:tcW w:w="2410" w:type="dxa"/>
            <w:vAlign w:val="center"/>
          </w:tcPr>
          <w:p w14:paraId="3657F2E9" w14:textId="0586A0CC" w:rsidR="00137C86" w:rsidRPr="0058433E" w:rsidRDefault="004E1AC1" w:rsidP="00137C86">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Жоба қабылданған жағдайда болжанатын әлеуметтік-экономикалық, құқықтық және (немесе) өзге салдар</w:t>
            </w:r>
          </w:p>
        </w:tc>
        <w:tc>
          <w:tcPr>
            <w:tcW w:w="2126" w:type="dxa"/>
          </w:tcPr>
          <w:p w14:paraId="3A3BA5F2" w14:textId="77777777" w:rsidR="00DC2C92" w:rsidRPr="0058433E" w:rsidRDefault="00DC2C92" w:rsidP="00137C86">
            <w:pPr>
              <w:jc w:val="center"/>
              <w:rPr>
                <w:rFonts w:ascii="Times New Roman" w:hAnsi="Times New Roman" w:cs="Times New Roman"/>
                <w:b/>
                <w:sz w:val="20"/>
                <w:szCs w:val="20"/>
                <w:lang w:val="kk-KZ"/>
              </w:rPr>
            </w:pPr>
          </w:p>
          <w:p w14:paraId="14371302" w14:textId="5EF026A2" w:rsidR="00DC2C92" w:rsidRPr="0058433E" w:rsidRDefault="004E1AC1" w:rsidP="00DC2C92">
            <w:pPr>
              <w:jc w:val="center"/>
              <w:rPr>
                <w:rFonts w:ascii="Times New Roman" w:hAnsi="Times New Roman" w:cs="Times New Roman"/>
                <w:b/>
                <w:sz w:val="20"/>
                <w:szCs w:val="20"/>
                <w:lang w:val="kk-KZ"/>
              </w:rPr>
            </w:pPr>
            <w:r w:rsidRPr="0058433E">
              <w:rPr>
                <w:rFonts w:ascii="Times New Roman" w:hAnsi="Times New Roman" w:cs="Times New Roman"/>
                <w:b/>
                <w:sz w:val="20"/>
                <w:szCs w:val="20"/>
                <w:lang w:val="kk-KZ"/>
              </w:rPr>
              <w:t>Жобаны орналастыру мерзімін кейінге қалдыру кезінде ықтимал тәуекелдер бар ма?</w:t>
            </w:r>
          </w:p>
          <w:p w14:paraId="1FE40F23" w14:textId="79FF4515" w:rsidR="00137C86" w:rsidRPr="0058433E" w:rsidRDefault="00DC2C92" w:rsidP="004E1AC1">
            <w:pPr>
              <w:jc w:val="center"/>
              <w:rPr>
                <w:rFonts w:ascii="Times New Roman" w:hAnsi="Times New Roman" w:cs="Times New Roman"/>
                <w:sz w:val="20"/>
                <w:szCs w:val="20"/>
                <w:lang w:val="kk-KZ"/>
              </w:rPr>
            </w:pPr>
            <w:r w:rsidRPr="0058433E">
              <w:rPr>
                <w:rFonts w:ascii="Times New Roman" w:hAnsi="Times New Roman" w:cs="Times New Roman"/>
                <w:b/>
                <w:i/>
                <w:sz w:val="20"/>
                <w:szCs w:val="20"/>
                <w:lang w:val="kk-KZ"/>
              </w:rPr>
              <w:t>(</w:t>
            </w:r>
            <w:r w:rsidR="004E1AC1" w:rsidRPr="0058433E">
              <w:rPr>
                <w:rFonts w:ascii="Times New Roman" w:hAnsi="Times New Roman" w:cs="Times New Roman"/>
                <w:b/>
                <w:i/>
                <w:sz w:val="20"/>
                <w:szCs w:val="20"/>
                <w:lang w:val="kk-KZ"/>
              </w:rPr>
              <w:t>тапсырманы орындаудың бұзылуы, белгілі бір құқықтарды/ міндеттерді іске асырудың мүмкін емес, белгілі бір әрекеттерді жасау, және т.б.</w:t>
            </w:r>
            <w:r w:rsidRPr="0058433E">
              <w:rPr>
                <w:rFonts w:ascii="Times New Roman" w:hAnsi="Times New Roman" w:cs="Times New Roman"/>
                <w:b/>
                <w:i/>
                <w:sz w:val="20"/>
                <w:szCs w:val="20"/>
                <w:lang w:val="kk-KZ"/>
              </w:rPr>
              <w:t>.)</w:t>
            </w:r>
          </w:p>
        </w:tc>
      </w:tr>
      <w:tr w:rsidR="00DC2D4E" w:rsidRPr="00262CE3" w14:paraId="78F7E940" w14:textId="77777777" w:rsidTr="009F11A4">
        <w:tc>
          <w:tcPr>
            <w:tcW w:w="426" w:type="dxa"/>
            <w:vAlign w:val="center"/>
          </w:tcPr>
          <w:p w14:paraId="4B27E58E" w14:textId="25607D68" w:rsidR="00DC2D4E" w:rsidRPr="00262CE3" w:rsidRDefault="00DC2D4E" w:rsidP="00262CE3">
            <w:pPr>
              <w:jc w:val="both"/>
              <w:rPr>
                <w:rFonts w:ascii="Times New Roman" w:hAnsi="Times New Roman" w:cs="Times New Roman"/>
                <w:bCs/>
                <w:sz w:val="18"/>
                <w:szCs w:val="18"/>
                <w:lang w:val="kk-KZ"/>
              </w:rPr>
            </w:pPr>
            <w:r w:rsidRPr="00262CE3">
              <w:rPr>
                <w:rFonts w:ascii="Times New Roman" w:hAnsi="Times New Roman" w:cs="Times New Roman"/>
                <w:bCs/>
                <w:sz w:val="18"/>
                <w:szCs w:val="18"/>
                <w:lang w:val="kk-KZ"/>
              </w:rPr>
              <w:t>1</w:t>
            </w:r>
          </w:p>
        </w:tc>
        <w:tc>
          <w:tcPr>
            <w:tcW w:w="1985" w:type="dxa"/>
          </w:tcPr>
          <w:p w14:paraId="549E5C8A" w14:textId="13998C4C" w:rsidR="00DC2D4E" w:rsidRPr="00262CE3" w:rsidRDefault="00E374A7" w:rsidP="00262CE3">
            <w:pPr>
              <w:jc w:val="both"/>
              <w:rPr>
                <w:rFonts w:ascii="Times New Roman" w:hAnsi="Times New Roman" w:cs="Times New Roman"/>
                <w:bCs/>
                <w:sz w:val="18"/>
                <w:szCs w:val="18"/>
                <w:highlight w:val="yellow"/>
                <w:lang w:val="kk-KZ"/>
              </w:rPr>
            </w:pPr>
            <w:r w:rsidRPr="00262CE3">
              <w:rPr>
                <w:rFonts w:ascii="Times New Roman" w:hAnsi="Times New Roman" w:cs="Times New Roman"/>
                <w:bCs/>
                <w:sz w:val="18"/>
                <w:szCs w:val="18"/>
                <w:lang w:val="kk-KZ"/>
              </w:rPr>
              <w:t xml:space="preserve">«Нысаналы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 бекіту туралы» Қазақстан Республикасы Үкіметінің 2024 жылғы 18 қаңтардағы № 16 </w:t>
            </w:r>
            <w:r w:rsidR="009F11A4" w:rsidRPr="00262CE3">
              <w:rPr>
                <w:rFonts w:ascii="Times New Roman" w:hAnsi="Times New Roman" w:cs="Times New Roman"/>
                <w:bCs/>
                <w:sz w:val="18"/>
                <w:szCs w:val="18"/>
                <w:lang w:val="kk-KZ"/>
              </w:rPr>
              <w:t>қаулысына өзгерістер мен толықтыру енгізу туралы</w:t>
            </w:r>
            <w:r w:rsidR="00DC3BCA" w:rsidRPr="00262CE3">
              <w:rPr>
                <w:rFonts w:ascii="Times New Roman" w:hAnsi="Times New Roman" w:cs="Times New Roman"/>
                <w:bCs/>
                <w:sz w:val="18"/>
                <w:szCs w:val="18"/>
                <w:lang w:val="kk-KZ"/>
              </w:rPr>
              <w:t>» Қазақстан Республикасы Үкіметінің қаулы жобасына</w:t>
            </w:r>
          </w:p>
        </w:tc>
        <w:tc>
          <w:tcPr>
            <w:tcW w:w="1417" w:type="dxa"/>
          </w:tcPr>
          <w:p w14:paraId="5A50FFCF" w14:textId="7C0C5D74" w:rsidR="00DC2D4E" w:rsidRPr="00262CE3" w:rsidRDefault="00DC2D4E" w:rsidP="00262CE3">
            <w:pPr>
              <w:jc w:val="both"/>
              <w:rPr>
                <w:rFonts w:ascii="Times New Roman" w:hAnsi="Times New Roman" w:cs="Times New Roman"/>
                <w:bCs/>
                <w:sz w:val="18"/>
                <w:szCs w:val="18"/>
                <w:highlight w:val="yellow"/>
                <w:lang w:val="kk-KZ"/>
              </w:rPr>
            </w:pPr>
            <w:r w:rsidRPr="00262CE3">
              <w:rPr>
                <w:rFonts w:ascii="Times New Roman" w:hAnsi="Times New Roman" w:cs="Times New Roman"/>
                <w:bCs/>
                <w:sz w:val="18"/>
                <w:szCs w:val="18"/>
                <w:lang w:val="kk-KZ"/>
              </w:rPr>
              <w:t xml:space="preserve">ҚР Қаржы министрлігі </w:t>
            </w:r>
            <w:r w:rsidR="00E374A7" w:rsidRPr="00262CE3">
              <w:rPr>
                <w:rFonts w:ascii="Times New Roman" w:hAnsi="Times New Roman" w:cs="Times New Roman"/>
                <w:bCs/>
                <w:sz w:val="18"/>
                <w:szCs w:val="18"/>
                <w:lang w:val="kk-KZ"/>
              </w:rPr>
              <w:t xml:space="preserve">Бюджеттік кредиттеу, Қазақстан Республикасының Ұлттық қоры және қаржы секторы мәселелері бойынша өзара іс-қимыл </w:t>
            </w:r>
            <w:r w:rsidRPr="00262CE3">
              <w:rPr>
                <w:rFonts w:ascii="Times New Roman" w:hAnsi="Times New Roman" w:cs="Times New Roman"/>
                <w:bCs/>
                <w:sz w:val="18"/>
                <w:szCs w:val="18"/>
                <w:lang w:val="kk-KZ"/>
              </w:rPr>
              <w:t>департаменті</w:t>
            </w:r>
          </w:p>
        </w:tc>
        <w:tc>
          <w:tcPr>
            <w:tcW w:w="1134" w:type="dxa"/>
          </w:tcPr>
          <w:p w14:paraId="707294B1" w14:textId="582F694B" w:rsidR="00DC2D4E" w:rsidRPr="00262CE3" w:rsidRDefault="00DC2D4E" w:rsidP="00262CE3">
            <w:pPr>
              <w:jc w:val="both"/>
              <w:rPr>
                <w:rFonts w:ascii="Times New Roman" w:hAnsi="Times New Roman" w:cs="Times New Roman"/>
                <w:bCs/>
                <w:sz w:val="18"/>
                <w:szCs w:val="18"/>
                <w:lang w:val="kk-KZ"/>
              </w:rPr>
            </w:pPr>
            <w:r w:rsidRPr="00262CE3">
              <w:rPr>
                <w:rFonts w:ascii="Times New Roman" w:hAnsi="Times New Roman" w:cs="Times New Roman"/>
                <w:bCs/>
                <w:sz w:val="18"/>
                <w:szCs w:val="18"/>
                <w:lang w:val="kk-KZ"/>
              </w:rPr>
              <w:t xml:space="preserve">2025 ж. </w:t>
            </w:r>
            <w:r w:rsidR="00E374A7" w:rsidRPr="00262CE3">
              <w:rPr>
                <w:rFonts w:ascii="Times New Roman" w:hAnsi="Times New Roman" w:cs="Times New Roman"/>
                <w:bCs/>
                <w:sz w:val="18"/>
                <w:szCs w:val="18"/>
                <w:lang w:val="kk-KZ"/>
              </w:rPr>
              <w:t>қазан</w:t>
            </w:r>
          </w:p>
        </w:tc>
        <w:tc>
          <w:tcPr>
            <w:tcW w:w="1985" w:type="dxa"/>
          </w:tcPr>
          <w:p w14:paraId="7504772C" w14:textId="77777777" w:rsidR="00DC2D4E" w:rsidRPr="00262CE3" w:rsidRDefault="009F11A4" w:rsidP="00262CE3">
            <w:pPr>
              <w:jc w:val="both"/>
              <w:rPr>
                <w:rFonts w:ascii="Times New Roman" w:hAnsi="Times New Roman" w:cs="Times New Roman"/>
                <w:bCs/>
                <w:sz w:val="18"/>
                <w:szCs w:val="18"/>
                <w:lang w:val="kk-KZ"/>
              </w:rPr>
            </w:pPr>
            <w:r w:rsidRPr="00262CE3">
              <w:rPr>
                <w:rFonts w:ascii="Times New Roman" w:hAnsi="Times New Roman" w:cs="Times New Roman"/>
                <w:bCs/>
                <w:sz w:val="18"/>
                <w:szCs w:val="18"/>
                <w:lang w:val="kk-KZ"/>
              </w:rPr>
              <w:t>Қазақстан Республикасының азаматтығынан айырылған немесе азаматтығынан шыққан адамдарды, қайтыс болған адамдарды нысаналы талаптарға қатысушылар тізіміне қате есепке алу жағдайларын біржақты түсіндіру және алып тастау мақсатында.</w:t>
            </w:r>
          </w:p>
          <w:p w14:paraId="76BF4B19" w14:textId="6166F95E" w:rsidR="009F11A4" w:rsidRPr="00262CE3" w:rsidRDefault="009F11A4" w:rsidP="00262CE3">
            <w:pPr>
              <w:jc w:val="both"/>
              <w:rPr>
                <w:rFonts w:ascii="Times New Roman" w:hAnsi="Times New Roman" w:cs="Times New Roman"/>
                <w:bCs/>
                <w:sz w:val="18"/>
                <w:szCs w:val="18"/>
                <w:highlight w:val="yellow"/>
                <w:lang w:val="kk-KZ"/>
              </w:rPr>
            </w:pPr>
            <w:r w:rsidRPr="00262CE3">
              <w:rPr>
                <w:rFonts w:ascii="Times New Roman" w:hAnsi="Times New Roman" w:cs="Times New Roman"/>
                <w:bCs/>
                <w:sz w:val="18"/>
                <w:szCs w:val="18"/>
                <w:lang w:val="kk-KZ"/>
              </w:rPr>
              <w:t xml:space="preserve">Нысаналы талаптарды, нысаналы жинақтарды және нысаналы жинақтарды төлеуді қалыптастыру және есепке алу, сондай-ақ </w:t>
            </w:r>
            <w:r w:rsidRPr="00262CE3">
              <w:rPr>
                <w:rFonts w:ascii="Times New Roman" w:hAnsi="Times New Roman" w:cs="Times New Roman"/>
                <w:bCs/>
                <w:sz w:val="18"/>
                <w:szCs w:val="18"/>
                <w:lang w:val="kk-KZ"/>
              </w:rPr>
              <w:lastRenderedPageBreak/>
              <w:t>нысаналы талаптарды есептеу қағидаларын практикалық қолдану барысында бұрын есептеу үшін ескерілмеген және ескерілген, бірақ қатысушылар мәртебесін неғұрлым дәл көрсету үшін есептеу құқығы болмаған қатысушылар санаттарының құрамын нақтылау қажеттігі анықталды.</w:t>
            </w:r>
          </w:p>
        </w:tc>
        <w:tc>
          <w:tcPr>
            <w:tcW w:w="2268" w:type="dxa"/>
          </w:tcPr>
          <w:p w14:paraId="23B10794" w14:textId="4FF7214C" w:rsidR="00DC2D4E" w:rsidRPr="00262CE3" w:rsidRDefault="009F11A4" w:rsidP="00262CE3">
            <w:pPr>
              <w:jc w:val="both"/>
              <w:rPr>
                <w:rFonts w:ascii="Times New Roman" w:hAnsi="Times New Roman" w:cs="Times New Roman"/>
                <w:bCs/>
                <w:sz w:val="18"/>
                <w:szCs w:val="18"/>
                <w:highlight w:val="yellow"/>
                <w:lang w:val="kk-KZ"/>
              </w:rPr>
            </w:pPr>
            <w:r w:rsidRPr="00262CE3">
              <w:rPr>
                <w:rFonts w:ascii="Times New Roman" w:hAnsi="Times New Roman" w:cs="Times New Roman"/>
                <w:bCs/>
                <w:sz w:val="18"/>
                <w:szCs w:val="18"/>
                <w:lang w:val="kk-KZ"/>
              </w:rPr>
              <w:lastRenderedPageBreak/>
              <w:t>бастамашыл</w:t>
            </w:r>
          </w:p>
        </w:tc>
        <w:tc>
          <w:tcPr>
            <w:tcW w:w="1842" w:type="dxa"/>
          </w:tcPr>
          <w:p w14:paraId="597C783B" w14:textId="2E4E68D7" w:rsidR="00DC2D4E" w:rsidRPr="00262CE3" w:rsidRDefault="00DC2D4E" w:rsidP="00262CE3">
            <w:pPr>
              <w:jc w:val="both"/>
              <w:rPr>
                <w:rFonts w:ascii="Times New Roman" w:hAnsi="Times New Roman" w:cs="Times New Roman"/>
                <w:bCs/>
                <w:sz w:val="18"/>
                <w:szCs w:val="18"/>
                <w:highlight w:val="yellow"/>
                <w:lang w:val="kk-KZ"/>
              </w:rPr>
            </w:pPr>
            <w:r w:rsidRPr="00262CE3">
              <w:rPr>
                <w:rFonts w:ascii="Times New Roman" w:hAnsi="Times New Roman" w:cs="Times New Roman"/>
                <w:bCs/>
                <w:sz w:val="18"/>
                <w:szCs w:val="18"/>
                <w:lang w:val="kk-KZ"/>
              </w:rPr>
              <w:t>2025  ж. қыркүйек-</w:t>
            </w:r>
            <w:r w:rsidR="00E374A7" w:rsidRPr="00262CE3">
              <w:rPr>
                <w:rFonts w:ascii="Times New Roman" w:hAnsi="Times New Roman" w:cs="Times New Roman"/>
                <w:bCs/>
                <w:sz w:val="18"/>
                <w:szCs w:val="18"/>
                <w:lang w:val="kk-KZ"/>
              </w:rPr>
              <w:t>желтоқсан</w:t>
            </w:r>
            <w:r w:rsidRPr="00262CE3">
              <w:rPr>
                <w:rFonts w:ascii="Times New Roman" w:hAnsi="Times New Roman" w:cs="Times New Roman"/>
                <w:bCs/>
                <w:sz w:val="18"/>
                <w:szCs w:val="18"/>
                <w:lang w:val="kk-KZ"/>
              </w:rPr>
              <w:t xml:space="preserve"> </w:t>
            </w:r>
          </w:p>
        </w:tc>
        <w:tc>
          <w:tcPr>
            <w:tcW w:w="2410" w:type="dxa"/>
          </w:tcPr>
          <w:p w14:paraId="171D4382" w14:textId="2490617A" w:rsidR="00DC2D4E" w:rsidRPr="00262CE3" w:rsidRDefault="009F11A4" w:rsidP="00262CE3">
            <w:pPr>
              <w:jc w:val="both"/>
              <w:rPr>
                <w:rFonts w:ascii="Times New Roman" w:hAnsi="Times New Roman" w:cs="Times New Roman"/>
                <w:bCs/>
                <w:sz w:val="18"/>
                <w:szCs w:val="18"/>
                <w:highlight w:val="yellow"/>
                <w:lang w:val="kk-KZ"/>
              </w:rPr>
            </w:pPr>
            <w:r w:rsidRPr="00262CE3">
              <w:rPr>
                <w:rFonts w:ascii="Times New Roman" w:hAnsi="Times New Roman" w:cs="Times New Roman"/>
                <w:bCs/>
                <w:sz w:val="18"/>
                <w:szCs w:val="18"/>
                <w:lang w:val="kk-KZ"/>
              </w:rPr>
              <w:t>Жобаны қабылдау теріс әлеуметтік-экономикалық немесе құқықтық салдарға әкеп соқпайды.</w:t>
            </w:r>
          </w:p>
        </w:tc>
        <w:tc>
          <w:tcPr>
            <w:tcW w:w="2126" w:type="dxa"/>
          </w:tcPr>
          <w:p w14:paraId="58B37E0F" w14:textId="473570F6" w:rsidR="00DC2D4E" w:rsidRPr="00262CE3" w:rsidRDefault="00E374A7" w:rsidP="00262CE3">
            <w:pPr>
              <w:jc w:val="both"/>
              <w:rPr>
                <w:rFonts w:ascii="Times New Roman" w:hAnsi="Times New Roman" w:cs="Times New Roman"/>
                <w:bCs/>
                <w:sz w:val="18"/>
                <w:szCs w:val="18"/>
                <w:highlight w:val="yellow"/>
                <w:lang w:val="kk-KZ"/>
              </w:rPr>
            </w:pPr>
            <w:r w:rsidRPr="00262CE3">
              <w:rPr>
                <w:rFonts w:ascii="Times New Roman" w:hAnsi="Times New Roman" w:cs="Times New Roman"/>
                <w:bCs/>
                <w:sz w:val="18"/>
                <w:szCs w:val="18"/>
                <w:lang w:val="kk-KZ"/>
              </w:rPr>
              <w:t>жоқ</w:t>
            </w:r>
          </w:p>
        </w:tc>
      </w:tr>
      <w:tr w:rsidR="00262CE3" w:rsidRPr="00262CE3" w14:paraId="20111AD3" w14:textId="77777777" w:rsidTr="004A3D60">
        <w:tc>
          <w:tcPr>
            <w:tcW w:w="426" w:type="dxa"/>
            <w:vAlign w:val="center"/>
          </w:tcPr>
          <w:p w14:paraId="6E468B90" w14:textId="46CE727A" w:rsidR="00262CE3" w:rsidRPr="00262CE3" w:rsidRDefault="00262CE3" w:rsidP="00262CE3">
            <w:pPr>
              <w:jc w:val="both"/>
              <w:rPr>
                <w:rFonts w:ascii="Times New Roman" w:hAnsi="Times New Roman" w:cs="Times New Roman"/>
                <w:bCs/>
                <w:sz w:val="18"/>
                <w:szCs w:val="18"/>
                <w:lang w:val="kk-KZ"/>
              </w:rPr>
            </w:pPr>
            <w:r>
              <w:rPr>
                <w:rFonts w:ascii="Times New Roman" w:hAnsi="Times New Roman" w:cs="Times New Roman"/>
                <w:bCs/>
                <w:sz w:val="18"/>
                <w:szCs w:val="18"/>
                <w:lang w:val="kk-KZ"/>
              </w:rPr>
              <w:t>2.</w:t>
            </w:r>
          </w:p>
        </w:tc>
        <w:tc>
          <w:tcPr>
            <w:tcW w:w="1985" w:type="dxa"/>
            <w:vAlign w:val="center"/>
          </w:tcPr>
          <w:p w14:paraId="3A9EEAA1"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 xml:space="preserve">«Қазақстан Республикасы Қаржы министрінің кейбір бұйрықтарына өзгерістер мен толықтырулар енгізу туралы» Қазақстан Республикасы </w:t>
            </w:r>
          </w:p>
          <w:p w14:paraId="23650F19" w14:textId="7D9BE9E4"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 xml:space="preserve">Қаржы министрінің бұйрығының жобасы </w:t>
            </w:r>
          </w:p>
        </w:tc>
        <w:tc>
          <w:tcPr>
            <w:tcW w:w="1417" w:type="dxa"/>
            <w:vAlign w:val="center"/>
          </w:tcPr>
          <w:p w14:paraId="6168D400"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 xml:space="preserve">Ташенов А.С. </w:t>
            </w:r>
          </w:p>
          <w:p w14:paraId="0D99EDBA"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ҚР ҚМ Мемлекеттік сатып алу және квазимемлекеттік секторының сатып алу заңнамасы департаментінің</w:t>
            </w:r>
          </w:p>
          <w:p w14:paraId="6541B75C"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Мемлекеттік сатып алу әдіснамасы басқармасының</w:t>
            </w:r>
          </w:p>
          <w:p w14:paraId="25242681"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Бас сарапшысы</w:t>
            </w:r>
          </w:p>
          <w:p w14:paraId="7700E841" w14:textId="76E5F3C8"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т.: 87089294525</w:t>
            </w:r>
          </w:p>
        </w:tc>
        <w:tc>
          <w:tcPr>
            <w:tcW w:w="1134" w:type="dxa"/>
            <w:vAlign w:val="center"/>
          </w:tcPr>
          <w:p w14:paraId="78DAEBF6" w14:textId="6EC64673"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2025 жылғы қыркүйек</w:t>
            </w:r>
          </w:p>
        </w:tc>
        <w:tc>
          <w:tcPr>
            <w:tcW w:w="1985" w:type="dxa"/>
            <w:vAlign w:val="center"/>
          </w:tcPr>
          <w:p w14:paraId="019B415E" w14:textId="4789A14A"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Жоба мемлекеттік сатып алу туралы заңнамамен біріздендіру мақсатында әзірленді.</w:t>
            </w:r>
          </w:p>
        </w:tc>
        <w:tc>
          <w:tcPr>
            <w:tcW w:w="2268" w:type="dxa"/>
            <w:vAlign w:val="center"/>
          </w:tcPr>
          <w:p w14:paraId="05FD62F0"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 xml:space="preserve">«Қазақстан Республикасының сыбайлас жемқорлыққа қарсы саясатының 2022 – 2026 жылдарға арналған тұжырымдамасын бекіту және Қазақстан Республикасы Президентінің кейбір жарлықтарына өзгерістер енгізу туралы» Қазақстан Республикасы Президентінің 2022 жылғы 2 ақпандағы </w:t>
            </w:r>
          </w:p>
          <w:p w14:paraId="3C277682" w14:textId="64C93680"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 xml:space="preserve"> № 802 Жарлығының 21-тармағы.</w:t>
            </w:r>
          </w:p>
        </w:tc>
        <w:tc>
          <w:tcPr>
            <w:tcW w:w="1842" w:type="dxa"/>
            <w:vAlign w:val="center"/>
          </w:tcPr>
          <w:p w14:paraId="50FA3E61" w14:textId="163CB7E0"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Жоба мемлекеттік сатып алу туралы заңнамамен біріздендіруге бағытталған.</w:t>
            </w:r>
          </w:p>
        </w:tc>
        <w:tc>
          <w:tcPr>
            <w:tcW w:w="2410" w:type="dxa"/>
            <w:vAlign w:val="center"/>
          </w:tcPr>
          <w:p w14:paraId="2B37FCC9" w14:textId="3266CB04"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 xml:space="preserve">НҚА-ның бұл жобасы алыс-беріс шикізатының өнімдерін қайта өңдеуге әкелу (әкету) туралы міндеттемені ұсыну нысанын,қағидаларын және мерзімдерін, сондай-ақ оның орындалуын, алыс-беріс шикізатын қайта өңдеу шарттарын бекіту үшін әзірленді, бұл бюджетке салық түсімдерінің ұлғаюына әкелетін көлеңкелі экономика деңгейін төмендетуге мүмкіндік береді, осыған байланысты әлеуметтік-экономикалық, құқықтық және басқа салдарлар жоқ. </w:t>
            </w:r>
          </w:p>
        </w:tc>
        <w:tc>
          <w:tcPr>
            <w:tcW w:w="2126" w:type="dxa"/>
            <w:vAlign w:val="center"/>
          </w:tcPr>
          <w:p w14:paraId="1DE973ED" w14:textId="2C872C99"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Жоқ</w:t>
            </w:r>
          </w:p>
        </w:tc>
      </w:tr>
      <w:tr w:rsidR="00262CE3" w:rsidRPr="00262CE3" w14:paraId="797401C2" w14:textId="77777777" w:rsidTr="00F3388F">
        <w:tc>
          <w:tcPr>
            <w:tcW w:w="426" w:type="dxa"/>
            <w:vAlign w:val="center"/>
          </w:tcPr>
          <w:p w14:paraId="043C9AB8" w14:textId="22E9A701" w:rsidR="00262CE3" w:rsidRPr="00262CE3" w:rsidRDefault="00262CE3" w:rsidP="00262CE3">
            <w:pPr>
              <w:jc w:val="both"/>
              <w:rPr>
                <w:rFonts w:ascii="Times New Roman" w:hAnsi="Times New Roman" w:cs="Times New Roman"/>
                <w:bCs/>
                <w:sz w:val="18"/>
                <w:szCs w:val="18"/>
                <w:lang w:val="kk-KZ"/>
              </w:rPr>
            </w:pPr>
            <w:r>
              <w:rPr>
                <w:rFonts w:ascii="Times New Roman" w:hAnsi="Times New Roman" w:cs="Times New Roman"/>
                <w:bCs/>
                <w:sz w:val="18"/>
                <w:szCs w:val="18"/>
                <w:lang w:val="kk-KZ"/>
              </w:rPr>
              <w:t>3.</w:t>
            </w:r>
          </w:p>
        </w:tc>
        <w:tc>
          <w:tcPr>
            <w:tcW w:w="1985" w:type="dxa"/>
            <w:vAlign w:val="center"/>
          </w:tcPr>
          <w:p w14:paraId="2408473B" w14:textId="060F77C1"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«Мемлекеттік кірістер органдары мен Қазақстан Республикасының  Ұлттық Банкінің валюталық операциялар бойынша ақпарат пен мәліметтер беру жөніндегі өзара іс-қимыл қағидаларын белгілеу туралы» Қазақстан Республикасы Қаржы министрінің бұйрығының жобасы</w:t>
            </w:r>
          </w:p>
        </w:tc>
        <w:tc>
          <w:tcPr>
            <w:tcW w:w="1417" w:type="dxa"/>
            <w:vAlign w:val="center"/>
          </w:tcPr>
          <w:p w14:paraId="1A71E9BA"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ҚР ҚМ Мемлекеттік кірістер комитеті, Ірі салық төлеушілер департаментінің, Резидент еместерге салық салу бақармасы,</w:t>
            </w:r>
          </w:p>
          <w:p w14:paraId="1F204A68"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А.Ж.Мұрсатов,</w:t>
            </w:r>
          </w:p>
          <w:p w14:paraId="6CA179B9" w14:textId="34D33659"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тел. 87789992577</w:t>
            </w:r>
          </w:p>
        </w:tc>
        <w:tc>
          <w:tcPr>
            <w:tcW w:w="1134" w:type="dxa"/>
            <w:vAlign w:val="center"/>
          </w:tcPr>
          <w:p w14:paraId="25D8C183"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Қыркүйек – қазан</w:t>
            </w:r>
          </w:p>
          <w:p w14:paraId="09C79F81" w14:textId="07847584"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2025ж.</w:t>
            </w:r>
          </w:p>
        </w:tc>
        <w:tc>
          <w:tcPr>
            <w:tcW w:w="1985" w:type="dxa"/>
            <w:vAlign w:val="center"/>
          </w:tcPr>
          <w:p w14:paraId="7F9D01E5"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Қазақстан Республикасының Салық кодексін іске асыру мақсатында Мемлекеттік кірістер органдары мен Қазақстан Республикасы Ұлттық Банкінің өзара іс-қимыл қағидалары белгіленеді</w:t>
            </w:r>
          </w:p>
          <w:p w14:paraId="4A3EBD8D" w14:textId="455EB031"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 xml:space="preserve">50 000 АҚШ долларынан астам валюталық операциялар, соның ішінде биржалық емес мәмілелер, резидентыстердің кірістері және "Астана"халықаралық </w:t>
            </w:r>
            <w:r w:rsidRPr="00262CE3">
              <w:rPr>
                <w:rFonts w:ascii="Times New Roman" w:hAnsi="Times New Roman" w:cs="Times New Roman"/>
                <w:bCs/>
                <w:sz w:val="16"/>
                <w:szCs w:val="16"/>
                <w:lang w:val="kk-KZ"/>
              </w:rPr>
              <w:lastRenderedPageBreak/>
              <w:t>қаржы орталығына қатысушылардың операциялары.</w:t>
            </w:r>
          </w:p>
        </w:tc>
        <w:tc>
          <w:tcPr>
            <w:tcW w:w="2268" w:type="dxa"/>
            <w:vAlign w:val="center"/>
          </w:tcPr>
          <w:p w14:paraId="63FAB212" w14:textId="5C9A2755"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lastRenderedPageBreak/>
              <w:t>Жоба Қазақстан Республикасы Салық кодексінің 53-бабының 4-тармағына сәйкес әзірленді.</w:t>
            </w:r>
          </w:p>
        </w:tc>
        <w:tc>
          <w:tcPr>
            <w:tcW w:w="1842" w:type="dxa"/>
            <w:vAlign w:val="center"/>
          </w:tcPr>
          <w:p w14:paraId="20E3D86C"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Жобаның мақсаты Ұлттық Банк пен мемлекеттік кірістер органдары арасында ақпарат алмасудың бірыңғай қағидаларын белгілеу.</w:t>
            </w:r>
          </w:p>
          <w:p w14:paraId="238E534D" w14:textId="5FF27A54"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 xml:space="preserve">Жобаның күтілетін нәтижесі қаржы ағындарының ашықтығын арттыруға және салық төлеуден жалтару тәуекелдерін азайтуға мүмкіндік беретін, бюджетке салық түсімдерінің ұлғаюына әкеп </w:t>
            </w:r>
            <w:r w:rsidRPr="00262CE3">
              <w:rPr>
                <w:rFonts w:ascii="Times New Roman" w:hAnsi="Times New Roman" w:cs="Times New Roman"/>
                <w:bCs/>
                <w:sz w:val="16"/>
                <w:szCs w:val="16"/>
                <w:lang w:val="kk-KZ"/>
              </w:rPr>
              <w:lastRenderedPageBreak/>
              <w:t>соғатын, биржасыз мәмілелерді, резидентыстердің кірістерін және "Астана" халықаралық қаржы орталығына қатысушылардың операцияларын қоса алғанда, 50 000 АҚШ долларынан астам валюталық операциялар туралы мәліметтерді беру болып табылады</w:t>
            </w:r>
          </w:p>
        </w:tc>
        <w:tc>
          <w:tcPr>
            <w:tcW w:w="2410" w:type="dxa"/>
            <w:vAlign w:val="center"/>
          </w:tcPr>
          <w:p w14:paraId="261E86FE" w14:textId="744BD336"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lastRenderedPageBreak/>
              <w:t>Бұл жоба мемлекеттік кірістер органдарының ірі валюталық операциялар туралы ақпаратқа уақтылы қол жеткізуін, салық төлеуден жалтару және капиталды заңсыз шығару жағдайларын анықтаудың тиімділігін арттыруды, күмәнді немесе жалған операцияларды жүзеге асыру тәуекелдерін төмендетуді қамтамасыз етеді, осыған байланысты теріс әлеуметтік-экономикалық, құқықтық және өзге де салдарлар жоқ.</w:t>
            </w:r>
          </w:p>
        </w:tc>
        <w:tc>
          <w:tcPr>
            <w:tcW w:w="2126" w:type="dxa"/>
            <w:vAlign w:val="center"/>
          </w:tcPr>
          <w:p w14:paraId="1BF2B1A2"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Бар.</w:t>
            </w:r>
          </w:p>
          <w:p w14:paraId="489566CC"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Қазақстан Республикасы Қаржы Министрінің "Қазақстан Республикасы Мемлекеттік кіріс органдары мен Ұлттық Банкі арасындағы өзара іс-қимыл қағидаларын белгілеу туралы" бұйрығының жобасы</w:t>
            </w:r>
          </w:p>
          <w:p w14:paraId="26957CDF"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валюталық операциялар бойынша ақпарат пен мәліметтер беру"</w:t>
            </w:r>
          </w:p>
          <w:p w14:paraId="4FE44BE8" w14:textId="77777777" w:rsidR="00262CE3" w:rsidRPr="00262CE3" w:rsidRDefault="00262CE3" w:rsidP="00262CE3">
            <w:pPr>
              <w:jc w:val="both"/>
              <w:rPr>
                <w:rFonts w:ascii="Times New Roman" w:hAnsi="Times New Roman" w:cs="Times New Roman"/>
                <w:bCs/>
                <w:sz w:val="16"/>
                <w:szCs w:val="16"/>
                <w:lang w:val="kk-KZ"/>
              </w:rPr>
            </w:pPr>
            <w:r w:rsidRPr="00262CE3">
              <w:rPr>
                <w:rFonts w:ascii="Times New Roman" w:hAnsi="Times New Roman" w:cs="Times New Roman"/>
                <w:bCs/>
                <w:sz w:val="16"/>
                <w:szCs w:val="16"/>
                <w:lang w:val="kk-KZ"/>
              </w:rPr>
              <w:t xml:space="preserve">қаржы ағындарының ашықтығын арттыруға және салық төлеуден жалтару тәуекелдерін азайтуға </w:t>
            </w:r>
            <w:r w:rsidRPr="00262CE3">
              <w:rPr>
                <w:rFonts w:ascii="Times New Roman" w:hAnsi="Times New Roman" w:cs="Times New Roman"/>
                <w:bCs/>
                <w:sz w:val="16"/>
                <w:szCs w:val="16"/>
                <w:lang w:val="kk-KZ"/>
              </w:rPr>
              <w:lastRenderedPageBreak/>
              <w:t>мүмкіндік беретін жаңа Салық кодексінің нормаларымен әзірленген, тиісінше бюджетке салық түсімдерінің ұлғаюына әкеп соғады.</w:t>
            </w:r>
          </w:p>
          <w:p w14:paraId="7C2D85D4" w14:textId="0440D568" w:rsidR="00262CE3" w:rsidRPr="00262CE3" w:rsidRDefault="00262CE3" w:rsidP="00262CE3">
            <w:pPr>
              <w:jc w:val="both"/>
              <w:rPr>
                <w:rFonts w:ascii="Times New Roman" w:hAnsi="Times New Roman" w:cs="Times New Roman"/>
                <w:bCs/>
                <w:sz w:val="18"/>
                <w:szCs w:val="18"/>
                <w:lang w:val="kk-KZ"/>
              </w:rPr>
            </w:pPr>
            <w:r w:rsidRPr="00262CE3">
              <w:rPr>
                <w:rFonts w:ascii="Times New Roman" w:hAnsi="Times New Roman" w:cs="Times New Roman"/>
                <w:bCs/>
                <w:sz w:val="16"/>
                <w:szCs w:val="16"/>
                <w:lang w:val="kk-KZ"/>
              </w:rPr>
              <w:t>Осы жобаны орналастыру мерзімі кейінге қалдырылған жағдайда жаңа Салық кодексі шеңберінде осы НҚА-ны қабылдамау ықтималдығы бар, бұл күмәнді валюталық операциялар санының өсуіне және оларды капиталды шығару және салықтарды төлеуден жалтару үшін пайдалануға алып келеді, бұл көлеңкелі экономика үлесінің ұлғаюына және бюджетке салықтардың түспеуіне әкеледі.</w:t>
            </w:r>
          </w:p>
        </w:tc>
      </w:tr>
      <w:tr w:rsidR="005D753A" w:rsidRPr="00262CE3" w14:paraId="176D126F" w14:textId="77777777" w:rsidTr="00F3388F">
        <w:tc>
          <w:tcPr>
            <w:tcW w:w="426" w:type="dxa"/>
            <w:vAlign w:val="center"/>
          </w:tcPr>
          <w:p w14:paraId="727D3FD9" w14:textId="2813D082" w:rsidR="005D753A" w:rsidRDefault="005D753A" w:rsidP="00262CE3">
            <w:pPr>
              <w:jc w:val="both"/>
              <w:rPr>
                <w:rFonts w:ascii="Times New Roman" w:hAnsi="Times New Roman" w:cs="Times New Roman"/>
                <w:bCs/>
                <w:sz w:val="18"/>
                <w:szCs w:val="18"/>
                <w:lang w:val="kk-KZ"/>
              </w:rPr>
            </w:pPr>
            <w:r>
              <w:rPr>
                <w:rFonts w:ascii="Times New Roman" w:hAnsi="Times New Roman" w:cs="Times New Roman"/>
                <w:bCs/>
                <w:sz w:val="18"/>
                <w:szCs w:val="18"/>
                <w:lang w:val="kk-KZ"/>
              </w:rPr>
              <w:lastRenderedPageBreak/>
              <w:t>4.</w:t>
            </w:r>
          </w:p>
        </w:tc>
        <w:tc>
          <w:tcPr>
            <w:tcW w:w="1985" w:type="dxa"/>
            <w:vAlign w:val="center"/>
          </w:tcPr>
          <w:p w14:paraId="4A076E2E" w14:textId="5693711F" w:rsidR="005D753A" w:rsidRPr="00262CE3" w:rsidRDefault="005D753A" w:rsidP="00262CE3">
            <w:pPr>
              <w:jc w:val="both"/>
              <w:rPr>
                <w:rFonts w:ascii="Times New Roman" w:hAnsi="Times New Roman" w:cs="Times New Roman"/>
                <w:bCs/>
                <w:sz w:val="16"/>
                <w:szCs w:val="16"/>
                <w:lang w:val="kk-KZ"/>
              </w:rPr>
            </w:pPr>
            <w:r w:rsidRPr="005D753A">
              <w:rPr>
                <w:rFonts w:ascii="Times New Roman" w:hAnsi="Times New Roman" w:cs="Times New Roman"/>
                <w:bCs/>
                <w:sz w:val="16"/>
                <w:szCs w:val="16"/>
                <w:lang w:val="kk-KZ"/>
              </w:rPr>
              <w:t>«Аудиторлық ұйымдардың сапасына сыртқы бақылау жүргізудің үлгілік қағидаларын, оның ішінде аудиторлық және кәсіби ұйымдарды тексеру өлшемшарттарын бекіту туралы» Қазақстан Республикасы Қаржы министрінің 2021 жылғы 16 маусымдағы № 574 бұйрығына өзгеріс енгізу туралы» Қазақстан Республикасы Қаржы министрінің бұйрық жобасы</w:t>
            </w:r>
          </w:p>
        </w:tc>
        <w:tc>
          <w:tcPr>
            <w:tcW w:w="1417" w:type="dxa"/>
            <w:vAlign w:val="center"/>
          </w:tcPr>
          <w:p w14:paraId="1A1AA86A" w14:textId="71364FA1" w:rsidR="005D753A" w:rsidRPr="00262CE3" w:rsidRDefault="005D753A" w:rsidP="00262CE3">
            <w:pPr>
              <w:jc w:val="both"/>
              <w:rPr>
                <w:rFonts w:ascii="Times New Roman" w:hAnsi="Times New Roman" w:cs="Times New Roman"/>
                <w:bCs/>
                <w:sz w:val="16"/>
                <w:szCs w:val="16"/>
                <w:lang w:val="kk-KZ"/>
              </w:rPr>
            </w:pPr>
            <w:r w:rsidRPr="005D753A">
              <w:rPr>
                <w:rFonts w:ascii="Times New Roman" w:hAnsi="Times New Roman" w:cs="Times New Roman"/>
                <w:bCs/>
                <w:sz w:val="16"/>
                <w:szCs w:val="16"/>
                <w:lang w:val="kk-KZ"/>
              </w:rPr>
              <w:t>ҚР Қаржы министрлігі Бухгалтерлік есеп, аудит және бағалау әдіснамасы департаменті</w:t>
            </w:r>
            <w:r>
              <w:rPr>
                <w:rFonts w:ascii="Times New Roman" w:hAnsi="Times New Roman" w:cs="Times New Roman"/>
                <w:bCs/>
                <w:sz w:val="16"/>
                <w:szCs w:val="16"/>
                <w:lang w:val="kk-KZ"/>
              </w:rPr>
              <w:t>, бас сарапшы Ақылбекова Н.М. 87071711501</w:t>
            </w:r>
          </w:p>
        </w:tc>
        <w:tc>
          <w:tcPr>
            <w:tcW w:w="1134" w:type="dxa"/>
            <w:vAlign w:val="center"/>
          </w:tcPr>
          <w:p w14:paraId="0BBBABD9" w14:textId="4D8B5777" w:rsidR="005D753A" w:rsidRPr="00262CE3" w:rsidRDefault="005D753A" w:rsidP="00262CE3">
            <w:pPr>
              <w:jc w:val="both"/>
              <w:rPr>
                <w:rFonts w:ascii="Times New Roman" w:hAnsi="Times New Roman" w:cs="Times New Roman"/>
                <w:bCs/>
                <w:sz w:val="16"/>
                <w:szCs w:val="16"/>
                <w:lang w:val="kk-KZ"/>
              </w:rPr>
            </w:pPr>
            <w:r w:rsidRPr="005D753A">
              <w:rPr>
                <w:rFonts w:ascii="Times New Roman" w:hAnsi="Times New Roman" w:cs="Times New Roman"/>
                <w:bCs/>
                <w:sz w:val="16"/>
                <w:szCs w:val="16"/>
                <w:lang w:val="kk-KZ"/>
              </w:rPr>
              <w:t>2025 жылдың 30 қазанына дейін</w:t>
            </w:r>
          </w:p>
        </w:tc>
        <w:tc>
          <w:tcPr>
            <w:tcW w:w="1985" w:type="dxa"/>
            <w:vAlign w:val="center"/>
          </w:tcPr>
          <w:p w14:paraId="39BC664B" w14:textId="7C6E5ADF" w:rsidR="005D753A" w:rsidRPr="00262CE3" w:rsidRDefault="005D753A" w:rsidP="00262CE3">
            <w:pPr>
              <w:jc w:val="both"/>
              <w:rPr>
                <w:rFonts w:ascii="Times New Roman" w:hAnsi="Times New Roman" w:cs="Times New Roman"/>
                <w:bCs/>
                <w:sz w:val="16"/>
                <w:szCs w:val="16"/>
                <w:lang w:val="kk-KZ"/>
              </w:rPr>
            </w:pPr>
            <w:r w:rsidRPr="005D753A">
              <w:rPr>
                <w:rFonts w:ascii="Times New Roman" w:hAnsi="Times New Roman" w:cs="Times New Roman"/>
                <w:bCs/>
                <w:sz w:val="16"/>
                <w:szCs w:val="16"/>
                <w:lang w:val="kk-KZ"/>
              </w:rPr>
              <w:t xml:space="preserve">«Қазақстан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Заңына сәйкес  «Қылмыстық жолмен алынған кірістерді заңдастыруға (жылыстатуға) және терроризмді қаржыландыруға қарсы іс-қимыл туралы» Қазақстан Республикасы Заңының тақырыбына өзгеріс енгізілді.    </w:t>
            </w:r>
          </w:p>
        </w:tc>
        <w:tc>
          <w:tcPr>
            <w:tcW w:w="2268" w:type="dxa"/>
            <w:vAlign w:val="center"/>
          </w:tcPr>
          <w:p w14:paraId="0BAD2982" w14:textId="2484C059" w:rsidR="005D753A" w:rsidRPr="00262CE3" w:rsidRDefault="005D753A" w:rsidP="00262CE3">
            <w:pPr>
              <w:jc w:val="both"/>
              <w:rPr>
                <w:rFonts w:ascii="Times New Roman" w:hAnsi="Times New Roman" w:cs="Times New Roman"/>
                <w:bCs/>
                <w:sz w:val="16"/>
                <w:szCs w:val="16"/>
                <w:lang w:val="kk-KZ"/>
              </w:rPr>
            </w:pPr>
            <w:r w:rsidRPr="005D753A">
              <w:rPr>
                <w:rFonts w:ascii="Times New Roman" w:hAnsi="Times New Roman" w:cs="Times New Roman"/>
                <w:bCs/>
                <w:sz w:val="16"/>
                <w:szCs w:val="16"/>
                <w:lang w:val="kk-KZ"/>
              </w:rPr>
              <w:t>«Қазақстан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w:t>
            </w:r>
          </w:p>
        </w:tc>
        <w:tc>
          <w:tcPr>
            <w:tcW w:w="1842" w:type="dxa"/>
            <w:vAlign w:val="center"/>
          </w:tcPr>
          <w:p w14:paraId="0D1E270A" w14:textId="786B1151" w:rsidR="005D753A" w:rsidRPr="00262CE3" w:rsidRDefault="005D753A" w:rsidP="00262CE3">
            <w:pPr>
              <w:jc w:val="both"/>
              <w:rPr>
                <w:rFonts w:ascii="Times New Roman" w:hAnsi="Times New Roman" w:cs="Times New Roman"/>
                <w:bCs/>
                <w:sz w:val="16"/>
                <w:szCs w:val="16"/>
                <w:lang w:val="kk-KZ"/>
              </w:rPr>
            </w:pPr>
            <w:r w:rsidRPr="005D753A">
              <w:rPr>
                <w:rFonts w:ascii="Times New Roman" w:hAnsi="Times New Roman" w:cs="Times New Roman"/>
                <w:bCs/>
                <w:sz w:val="16"/>
                <w:szCs w:val="16"/>
                <w:lang w:val="kk-KZ"/>
              </w:rPr>
              <w:t>Жобаның мақсаты «Қазақстан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 Заңының 1-бабы 28-тармағына сәйкес келтіру.</w:t>
            </w:r>
          </w:p>
        </w:tc>
        <w:tc>
          <w:tcPr>
            <w:tcW w:w="2410" w:type="dxa"/>
            <w:vAlign w:val="center"/>
          </w:tcPr>
          <w:p w14:paraId="58CC50B2" w14:textId="78B9C2AD" w:rsidR="005D753A" w:rsidRPr="00262CE3" w:rsidRDefault="005D753A" w:rsidP="00262CE3">
            <w:pPr>
              <w:jc w:val="both"/>
              <w:rPr>
                <w:rFonts w:ascii="Times New Roman" w:hAnsi="Times New Roman" w:cs="Times New Roman"/>
                <w:bCs/>
                <w:sz w:val="16"/>
                <w:szCs w:val="16"/>
                <w:lang w:val="kk-KZ"/>
              </w:rPr>
            </w:pPr>
            <w:r w:rsidRPr="005D753A">
              <w:rPr>
                <w:rFonts w:ascii="Times New Roman" w:hAnsi="Times New Roman" w:cs="Times New Roman"/>
                <w:bCs/>
                <w:sz w:val="16"/>
                <w:szCs w:val="16"/>
                <w:lang w:val="kk-KZ"/>
              </w:rPr>
              <w:t>Жобаны қабылдау теріс әлеуметтік, экономикалық және құқықтық салдарға әкелмейді</w:t>
            </w:r>
            <w:r>
              <w:rPr>
                <w:rFonts w:ascii="Times New Roman" w:hAnsi="Times New Roman" w:cs="Times New Roman"/>
                <w:bCs/>
                <w:sz w:val="16"/>
                <w:szCs w:val="16"/>
                <w:lang w:val="kk-KZ"/>
              </w:rPr>
              <w:t>.</w:t>
            </w:r>
          </w:p>
        </w:tc>
        <w:tc>
          <w:tcPr>
            <w:tcW w:w="2126" w:type="dxa"/>
            <w:vAlign w:val="center"/>
          </w:tcPr>
          <w:p w14:paraId="3140A0FF" w14:textId="7932A482" w:rsidR="005D753A" w:rsidRPr="00262CE3" w:rsidRDefault="005D753A" w:rsidP="00262CE3">
            <w:pPr>
              <w:jc w:val="both"/>
              <w:rPr>
                <w:rFonts w:ascii="Times New Roman" w:hAnsi="Times New Roman" w:cs="Times New Roman"/>
                <w:bCs/>
                <w:sz w:val="16"/>
                <w:szCs w:val="16"/>
                <w:lang w:val="kk-KZ"/>
              </w:rPr>
            </w:pPr>
            <w:r>
              <w:rPr>
                <w:rFonts w:ascii="Times New Roman" w:hAnsi="Times New Roman" w:cs="Times New Roman"/>
                <w:bCs/>
                <w:sz w:val="16"/>
                <w:szCs w:val="16"/>
                <w:lang w:val="kk-KZ"/>
              </w:rPr>
              <w:t>жоқ</w:t>
            </w:r>
          </w:p>
        </w:tc>
      </w:tr>
    </w:tbl>
    <w:p w14:paraId="17437213" w14:textId="77777777" w:rsidR="00DC2C92" w:rsidRPr="00262CE3" w:rsidRDefault="00DC2C92" w:rsidP="00262CE3">
      <w:pPr>
        <w:spacing w:after="0" w:line="240" w:lineRule="auto"/>
        <w:jc w:val="both"/>
        <w:rPr>
          <w:rFonts w:ascii="Times New Roman" w:hAnsi="Times New Roman" w:cs="Times New Roman"/>
          <w:bCs/>
          <w:sz w:val="18"/>
          <w:szCs w:val="18"/>
          <w:lang w:val="kk-KZ"/>
        </w:rPr>
      </w:pPr>
    </w:p>
    <w:sectPr w:rsidR="00DC2C92" w:rsidRPr="00262CE3" w:rsidSect="00EC1967">
      <w:headerReference w:type="default" r:id="rId8"/>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8B37E" w14:textId="77777777" w:rsidR="00C66179" w:rsidRDefault="00C66179" w:rsidP="00EC1967">
      <w:pPr>
        <w:spacing w:after="0" w:line="240" w:lineRule="auto"/>
      </w:pPr>
      <w:r>
        <w:separator/>
      </w:r>
    </w:p>
  </w:endnote>
  <w:endnote w:type="continuationSeparator" w:id="0">
    <w:p w14:paraId="324565E8" w14:textId="77777777" w:rsidR="00C66179" w:rsidRDefault="00C66179" w:rsidP="00EC1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C5CE4" w14:textId="77777777" w:rsidR="00C66179" w:rsidRDefault="00C66179" w:rsidP="00EC1967">
      <w:pPr>
        <w:spacing w:after="0" w:line="240" w:lineRule="auto"/>
      </w:pPr>
      <w:r>
        <w:separator/>
      </w:r>
    </w:p>
  </w:footnote>
  <w:footnote w:type="continuationSeparator" w:id="0">
    <w:p w14:paraId="50D243FE" w14:textId="77777777" w:rsidR="00C66179" w:rsidRDefault="00C66179" w:rsidP="00EC19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02243"/>
      <w:docPartObj>
        <w:docPartGallery w:val="Page Numbers (Top of Page)"/>
        <w:docPartUnique/>
      </w:docPartObj>
    </w:sdtPr>
    <w:sdtEndPr>
      <w:rPr>
        <w:rFonts w:ascii="Times New Roman" w:hAnsi="Times New Roman" w:cs="Times New Roman"/>
        <w:sz w:val="28"/>
        <w:szCs w:val="28"/>
      </w:rPr>
    </w:sdtEndPr>
    <w:sdtContent>
      <w:p w14:paraId="459CEF77" w14:textId="08D5D200" w:rsidR="00EC1967" w:rsidRPr="00EC1967" w:rsidRDefault="00EC1967">
        <w:pPr>
          <w:pStyle w:val="a5"/>
          <w:jc w:val="center"/>
          <w:rPr>
            <w:rFonts w:ascii="Times New Roman" w:hAnsi="Times New Roman" w:cs="Times New Roman"/>
            <w:sz w:val="28"/>
            <w:szCs w:val="28"/>
          </w:rPr>
        </w:pPr>
        <w:r w:rsidRPr="00EC1967">
          <w:rPr>
            <w:rFonts w:ascii="Times New Roman" w:hAnsi="Times New Roman" w:cs="Times New Roman"/>
            <w:sz w:val="28"/>
            <w:szCs w:val="28"/>
          </w:rPr>
          <w:fldChar w:fldCharType="begin"/>
        </w:r>
        <w:r w:rsidRPr="00EC1967">
          <w:rPr>
            <w:rFonts w:ascii="Times New Roman" w:hAnsi="Times New Roman" w:cs="Times New Roman"/>
            <w:sz w:val="28"/>
            <w:szCs w:val="28"/>
          </w:rPr>
          <w:instrText>PAGE   \* MERGEFORMAT</w:instrText>
        </w:r>
        <w:r w:rsidRPr="00EC1967">
          <w:rPr>
            <w:rFonts w:ascii="Times New Roman" w:hAnsi="Times New Roman" w:cs="Times New Roman"/>
            <w:sz w:val="28"/>
            <w:szCs w:val="28"/>
          </w:rPr>
          <w:fldChar w:fldCharType="separate"/>
        </w:r>
        <w:r w:rsidR="00DC3BCA">
          <w:rPr>
            <w:rFonts w:ascii="Times New Roman" w:hAnsi="Times New Roman" w:cs="Times New Roman"/>
            <w:noProof/>
            <w:sz w:val="28"/>
            <w:szCs w:val="28"/>
          </w:rPr>
          <w:t>2</w:t>
        </w:r>
        <w:r w:rsidRPr="00EC1967">
          <w:rPr>
            <w:rFonts w:ascii="Times New Roman" w:hAnsi="Times New Roman" w:cs="Times New Roman"/>
            <w:sz w:val="28"/>
            <w:szCs w:val="28"/>
          </w:rPr>
          <w:fldChar w:fldCharType="end"/>
        </w:r>
      </w:p>
    </w:sdtContent>
  </w:sdt>
  <w:p w14:paraId="0639BD52" w14:textId="77777777" w:rsidR="00EC1967" w:rsidRDefault="00EC196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E39AA"/>
    <w:multiLevelType w:val="hybridMultilevel"/>
    <w:tmpl w:val="BC2C62E4"/>
    <w:lvl w:ilvl="0" w:tplc="0809000F">
      <w:start w:val="1"/>
      <w:numFmt w:val="decimal"/>
      <w:lvlText w:val="%1."/>
      <w:lvlJc w:val="left"/>
      <w:pPr>
        <w:ind w:left="643"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D10468"/>
    <w:multiLevelType w:val="hybridMultilevel"/>
    <w:tmpl w:val="C8387F1A"/>
    <w:lvl w:ilvl="0" w:tplc="92E03822">
      <w:start w:val="1"/>
      <w:numFmt w:val="decimal"/>
      <w:lvlText w:val="%1)"/>
      <w:lvlJc w:val="left"/>
      <w:pPr>
        <w:ind w:left="1069" w:hanging="360"/>
      </w:pPr>
      <w:rPr>
        <w:rFonts w:ascii="Times New Roman" w:eastAsiaTheme="minorHAnsi"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365"/>
    <w:rsid w:val="00030AEF"/>
    <w:rsid w:val="00035297"/>
    <w:rsid w:val="000362A3"/>
    <w:rsid w:val="00057F92"/>
    <w:rsid w:val="00070436"/>
    <w:rsid w:val="000731C1"/>
    <w:rsid w:val="000C06C1"/>
    <w:rsid w:val="000F30E1"/>
    <w:rsid w:val="000F6DA6"/>
    <w:rsid w:val="0011467A"/>
    <w:rsid w:val="00137C86"/>
    <w:rsid w:val="00137D3C"/>
    <w:rsid w:val="00147ACF"/>
    <w:rsid w:val="00155BBC"/>
    <w:rsid w:val="001805AE"/>
    <w:rsid w:val="001C06B5"/>
    <w:rsid w:val="001F14B0"/>
    <w:rsid w:val="001F415B"/>
    <w:rsid w:val="001F43F0"/>
    <w:rsid w:val="0023157D"/>
    <w:rsid w:val="002453BD"/>
    <w:rsid w:val="00262CE3"/>
    <w:rsid w:val="002654D4"/>
    <w:rsid w:val="0027430A"/>
    <w:rsid w:val="002870BB"/>
    <w:rsid w:val="002A255B"/>
    <w:rsid w:val="002F2A90"/>
    <w:rsid w:val="003219E0"/>
    <w:rsid w:val="00343B08"/>
    <w:rsid w:val="00386272"/>
    <w:rsid w:val="003B3721"/>
    <w:rsid w:val="003D4FB1"/>
    <w:rsid w:val="00410A7D"/>
    <w:rsid w:val="00420A88"/>
    <w:rsid w:val="004238CB"/>
    <w:rsid w:val="0044282D"/>
    <w:rsid w:val="00445E2F"/>
    <w:rsid w:val="004717FC"/>
    <w:rsid w:val="00473061"/>
    <w:rsid w:val="00480E7B"/>
    <w:rsid w:val="00481357"/>
    <w:rsid w:val="00485BD7"/>
    <w:rsid w:val="004A2579"/>
    <w:rsid w:val="004A2A19"/>
    <w:rsid w:val="004B32D3"/>
    <w:rsid w:val="004B5021"/>
    <w:rsid w:val="004B6E7D"/>
    <w:rsid w:val="004C0F23"/>
    <w:rsid w:val="004C16D3"/>
    <w:rsid w:val="004E1AC1"/>
    <w:rsid w:val="00523D8A"/>
    <w:rsid w:val="00550F02"/>
    <w:rsid w:val="00561382"/>
    <w:rsid w:val="00567A4F"/>
    <w:rsid w:val="0058433E"/>
    <w:rsid w:val="0059007C"/>
    <w:rsid w:val="005D753A"/>
    <w:rsid w:val="005E6AC8"/>
    <w:rsid w:val="005F241D"/>
    <w:rsid w:val="0060245D"/>
    <w:rsid w:val="006059C5"/>
    <w:rsid w:val="006A2211"/>
    <w:rsid w:val="006D4F25"/>
    <w:rsid w:val="006D7A01"/>
    <w:rsid w:val="006E3749"/>
    <w:rsid w:val="006F5A61"/>
    <w:rsid w:val="00740D72"/>
    <w:rsid w:val="00765989"/>
    <w:rsid w:val="00765D68"/>
    <w:rsid w:val="00766D90"/>
    <w:rsid w:val="007778DD"/>
    <w:rsid w:val="007A33D2"/>
    <w:rsid w:val="007B25B1"/>
    <w:rsid w:val="007B4989"/>
    <w:rsid w:val="007D0DA3"/>
    <w:rsid w:val="007D4654"/>
    <w:rsid w:val="007D72B2"/>
    <w:rsid w:val="007F0ADA"/>
    <w:rsid w:val="00841F0D"/>
    <w:rsid w:val="008729E8"/>
    <w:rsid w:val="00877676"/>
    <w:rsid w:val="008A2587"/>
    <w:rsid w:val="008E1B42"/>
    <w:rsid w:val="008F40F7"/>
    <w:rsid w:val="00906985"/>
    <w:rsid w:val="00932161"/>
    <w:rsid w:val="009346AD"/>
    <w:rsid w:val="009927FE"/>
    <w:rsid w:val="009B35E3"/>
    <w:rsid w:val="009D6B79"/>
    <w:rsid w:val="009F11A4"/>
    <w:rsid w:val="009F4BF2"/>
    <w:rsid w:val="00A034BF"/>
    <w:rsid w:val="00A151AA"/>
    <w:rsid w:val="00A46317"/>
    <w:rsid w:val="00A54555"/>
    <w:rsid w:val="00A54B2E"/>
    <w:rsid w:val="00A80AEC"/>
    <w:rsid w:val="00A86882"/>
    <w:rsid w:val="00A9631F"/>
    <w:rsid w:val="00AB42CD"/>
    <w:rsid w:val="00AD370F"/>
    <w:rsid w:val="00AD7C99"/>
    <w:rsid w:val="00AE1108"/>
    <w:rsid w:val="00AE44BC"/>
    <w:rsid w:val="00AE7AA1"/>
    <w:rsid w:val="00B007AD"/>
    <w:rsid w:val="00B11EB3"/>
    <w:rsid w:val="00B16F4C"/>
    <w:rsid w:val="00B30365"/>
    <w:rsid w:val="00B36493"/>
    <w:rsid w:val="00B40E7A"/>
    <w:rsid w:val="00B45787"/>
    <w:rsid w:val="00BF6E7A"/>
    <w:rsid w:val="00C21252"/>
    <w:rsid w:val="00C348A8"/>
    <w:rsid w:val="00C66179"/>
    <w:rsid w:val="00C70B2E"/>
    <w:rsid w:val="00C95285"/>
    <w:rsid w:val="00CA4099"/>
    <w:rsid w:val="00CA6E34"/>
    <w:rsid w:val="00CB12C3"/>
    <w:rsid w:val="00CB43B6"/>
    <w:rsid w:val="00CC6924"/>
    <w:rsid w:val="00D36713"/>
    <w:rsid w:val="00D42354"/>
    <w:rsid w:val="00D479B3"/>
    <w:rsid w:val="00D55D72"/>
    <w:rsid w:val="00D6508E"/>
    <w:rsid w:val="00D671DF"/>
    <w:rsid w:val="00DC2C92"/>
    <w:rsid w:val="00DC2D4E"/>
    <w:rsid w:val="00DC3BCA"/>
    <w:rsid w:val="00DD0C12"/>
    <w:rsid w:val="00DE513D"/>
    <w:rsid w:val="00DF1A44"/>
    <w:rsid w:val="00DF46C2"/>
    <w:rsid w:val="00E1778C"/>
    <w:rsid w:val="00E374A7"/>
    <w:rsid w:val="00E434CB"/>
    <w:rsid w:val="00E712A6"/>
    <w:rsid w:val="00E7139F"/>
    <w:rsid w:val="00E937A9"/>
    <w:rsid w:val="00E9478E"/>
    <w:rsid w:val="00EB7548"/>
    <w:rsid w:val="00EC1967"/>
    <w:rsid w:val="00ED19EB"/>
    <w:rsid w:val="00EE2DCC"/>
    <w:rsid w:val="00EE3FCB"/>
    <w:rsid w:val="00EF7136"/>
    <w:rsid w:val="00F32874"/>
    <w:rsid w:val="00F33F7B"/>
    <w:rsid w:val="00F44F3D"/>
    <w:rsid w:val="00F6027E"/>
    <w:rsid w:val="00F60298"/>
    <w:rsid w:val="00F7469E"/>
    <w:rsid w:val="00F94608"/>
    <w:rsid w:val="00FB6E00"/>
    <w:rsid w:val="00FC2F1D"/>
    <w:rsid w:val="00FE0F36"/>
    <w:rsid w:val="00FE27BD"/>
    <w:rsid w:val="00FE4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chartTrackingRefBased/>
  <w15:docId w15:val="{D02688FF-8744-4E40-ACAE-D580E0BF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C2D4E"/>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character" w:customStyle="1" w:styleId="y2iqfc">
    <w:name w:val="y2iqfc"/>
    <w:basedOn w:val="a0"/>
    <w:rsid w:val="004238CB"/>
  </w:style>
  <w:style w:type="paragraph" w:styleId="HTML">
    <w:name w:val="HTML Preformatted"/>
    <w:basedOn w:val="a"/>
    <w:link w:val="HTML0"/>
    <w:uiPriority w:val="99"/>
    <w:semiHidden/>
    <w:unhideWhenUsed/>
    <w:rsid w:val="00423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238CB"/>
    <w:rPr>
      <w:rFonts w:ascii="Courier New" w:eastAsia="Times New Roman" w:hAnsi="Courier New" w:cs="Courier New"/>
      <w:sz w:val="20"/>
      <w:szCs w:val="20"/>
      <w:lang w:eastAsia="ru-RU"/>
    </w:rPr>
  </w:style>
  <w:style w:type="paragraph" w:styleId="2">
    <w:name w:val="Body Text 2"/>
    <w:basedOn w:val="a"/>
    <w:link w:val="20"/>
    <w:uiPriority w:val="99"/>
    <w:unhideWhenUsed/>
    <w:rsid w:val="005F241D"/>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5F241D"/>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5F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EC196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1967"/>
  </w:style>
  <w:style w:type="paragraph" w:styleId="a7">
    <w:name w:val="footer"/>
    <w:basedOn w:val="a"/>
    <w:link w:val="a8"/>
    <w:uiPriority w:val="99"/>
    <w:unhideWhenUsed/>
    <w:rsid w:val="00EC196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1967"/>
  </w:style>
  <w:style w:type="paragraph" w:styleId="a9">
    <w:name w:val="Body Text Indent"/>
    <w:basedOn w:val="a"/>
    <w:link w:val="aa"/>
    <w:uiPriority w:val="99"/>
    <w:unhideWhenUsed/>
    <w:rsid w:val="00BF6E7A"/>
    <w:pPr>
      <w:spacing w:after="120" w:line="256" w:lineRule="auto"/>
      <w:ind w:left="283"/>
    </w:pPr>
  </w:style>
  <w:style w:type="character" w:customStyle="1" w:styleId="aa">
    <w:name w:val="Основной текст с отступом Знак"/>
    <w:basedOn w:val="a0"/>
    <w:link w:val="a9"/>
    <w:uiPriority w:val="99"/>
    <w:rsid w:val="00BF6E7A"/>
  </w:style>
  <w:style w:type="character" w:customStyle="1" w:styleId="ab">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c"/>
    <w:uiPriority w:val="99"/>
    <w:semiHidden/>
    <w:locked/>
    <w:rsid w:val="00DF1A44"/>
    <w:rPr>
      <w:rFonts w:ascii="Times New Roman" w:eastAsia="Times New Roman" w:hAnsi="Times New Roman" w:cs="Times New Roman"/>
      <w:sz w:val="24"/>
      <w:szCs w:val="24"/>
      <w:lang w:val="x-none" w:eastAsia="ru-RU"/>
    </w:rPr>
  </w:style>
  <w:style w:type="paragraph" w:styleId="ac">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
    <w:basedOn w:val="a"/>
    <w:link w:val="ab"/>
    <w:uiPriority w:val="99"/>
    <w:unhideWhenUsed/>
    <w:qFormat/>
    <w:rsid w:val="00DF1A44"/>
    <w:pPr>
      <w:spacing w:before="100" w:beforeAutospacing="1" w:after="100" w:afterAutospacing="1" w:line="240" w:lineRule="auto"/>
      <w:jc w:val="both"/>
    </w:pPr>
    <w:rPr>
      <w:rFonts w:ascii="Times New Roman" w:eastAsia="Times New Roman" w:hAnsi="Times New Roman" w:cs="Times New Roman"/>
      <w:sz w:val="24"/>
      <w:szCs w:val="24"/>
      <w:lang w:val="x-none" w:eastAsia="ru-RU"/>
    </w:rPr>
  </w:style>
  <w:style w:type="paragraph" w:customStyle="1" w:styleId="pc">
    <w:name w:val="pc"/>
    <w:basedOn w:val="a"/>
    <w:qFormat/>
    <w:rsid w:val="00766D90"/>
    <w:pPr>
      <w:spacing w:after="0" w:line="240" w:lineRule="auto"/>
      <w:jc w:val="center"/>
    </w:pPr>
    <w:rPr>
      <w:rFonts w:ascii="Times New Roman" w:eastAsiaTheme="minorEastAsia" w:hAnsi="Times New Roman" w:cs="Times New Roman"/>
      <w:color w:val="000000"/>
      <w:sz w:val="24"/>
      <w:szCs w:val="24"/>
      <w:lang w:eastAsia="ru-RU"/>
    </w:rPr>
  </w:style>
  <w:style w:type="character" w:styleId="ad">
    <w:name w:val="Strong"/>
    <w:basedOn w:val="a0"/>
    <w:uiPriority w:val="22"/>
    <w:qFormat/>
    <w:rsid w:val="00B11EB3"/>
    <w:rPr>
      <w:b/>
      <w:bCs/>
    </w:rPr>
  </w:style>
  <w:style w:type="character" w:customStyle="1" w:styleId="fieldcorrespondentitem">
    <w:name w:val="field_correspondent_item"/>
    <w:basedOn w:val="a0"/>
    <w:rsid w:val="00A54B2E"/>
  </w:style>
  <w:style w:type="paragraph" w:styleId="ae">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f"/>
    <w:uiPriority w:val="1"/>
    <w:qFormat/>
    <w:rsid w:val="00B36493"/>
    <w:pPr>
      <w:spacing w:after="0" w:line="240" w:lineRule="auto"/>
    </w:pPr>
    <w:rPr>
      <w:rFonts w:ascii="Consolas" w:eastAsia="Consolas" w:hAnsi="Consolas" w:cs="Consolas"/>
      <w:lang w:val="en-US"/>
    </w:rPr>
  </w:style>
  <w:style w:type="character" w:customStyle="1" w:styleId="af">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e"/>
    <w:uiPriority w:val="1"/>
    <w:qFormat/>
    <w:locked/>
    <w:rsid w:val="00B36493"/>
    <w:rPr>
      <w:rFonts w:ascii="Consolas" w:eastAsia="Consolas" w:hAnsi="Consolas" w:cs="Consolas"/>
      <w:lang w:val="en-US"/>
    </w:rPr>
  </w:style>
  <w:style w:type="character" w:styleId="af0">
    <w:name w:val="Hyperlink"/>
    <w:uiPriority w:val="99"/>
    <w:unhideWhenUsed/>
    <w:rsid w:val="00CA6E34"/>
    <w:rPr>
      <w:rFonts w:ascii="Times New Roman" w:hAnsi="Times New Roman" w:cs="Times New Roman" w:hint="default"/>
      <w:color w:val="333399"/>
      <w:u w:val="single"/>
    </w:rPr>
  </w:style>
  <w:style w:type="character" w:customStyle="1" w:styleId="s1">
    <w:name w:val="s1"/>
    <w:qFormat/>
    <w:rsid w:val="009D6B79"/>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uiPriority w:val="9"/>
    <w:rsid w:val="00DC2D4E"/>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927780">
      <w:bodyDiv w:val="1"/>
      <w:marLeft w:val="0"/>
      <w:marRight w:val="0"/>
      <w:marTop w:val="0"/>
      <w:marBottom w:val="0"/>
      <w:divBdr>
        <w:top w:val="none" w:sz="0" w:space="0" w:color="auto"/>
        <w:left w:val="none" w:sz="0" w:space="0" w:color="auto"/>
        <w:bottom w:val="none" w:sz="0" w:space="0" w:color="auto"/>
        <w:right w:val="none" w:sz="0" w:space="0" w:color="auto"/>
      </w:divBdr>
    </w:div>
    <w:div w:id="741026095">
      <w:bodyDiv w:val="1"/>
      <w:marLeft w:val="0"/>
      <w:marRight w:val="0"/>
      <w:marTop w:val="0"/>
      <w:marBottom w:val="0"/>
      <w:divBdr>
        <w:top w:val="none" w:sz="0" w:space="0" w:color="auto"/>
        <w:left w:val="none" w:sz="0" w:space="0" w:color="auto"/>
        <w:bottom w:val="none" w:sz="0" w:space="0" w:color="auto"/>
        <w:right w:val="none" w:sz="0" w:space="0" w:color="auto"/>
      </w:divBdr>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BD4F3-A87E-4079-BE6A-D32246FA3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4</Pages>
  <Words>1155</Words>
  <Characters>6585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Көңлімқос Рахимбек Саятұлы</dc:creator>
  <cp:keywords/>
  <dc:description/>
  <cp:lastModifiedBy>Нурсия Акылбекова</cp:lastModifiedBy>
  <cp:revision>97</cp:revision>
  <dcterms:created xsi:type="dcterms:W3CDTF">2025-04-11T05:56:00Z</dcterms:created>
  <dcterms:modified xsi:type="dcterms:W3CDTF">2025-09-29T05:17:00Z</dcterms:modified>
</cp:coreProperties>
</file>